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0E6" w:rsidRPr="00ED2F27" w:rsidRDefault="00E72674" w:rsidP="002E6488">
      <w:pPr>
        <w:pStyle w:val="Header"/>
        <w:tabs>
          <w:tab w:val="clear" w:pos="4680"/>
        </w:tabs>
        <w:rPr>
          <w:sz w:val="24"/>
          <w:szCs w:val="24"/>
          <w:lang w:val="en-US" w:eastAsia="ja-JP"/>
        </w:rPr>
      </w:pPr>
      <w:r w:rsidRPr="00ED2F27">
        <w:rPr>
          <w:sz w:val="24"/>
          <w:szCs w:val="24"/>
          <w:lang w:val="en-US"/>
        </w:rPr>
        <w:t>TSG-RAN Meeting #4</w:t>
      </w:r>
      <w:r w:rsidR="001D2F35" w:rsidRPr="00ED2F27">
        <w:rPr>
          <w:rFonts w:hint="eastAsia"/>
          <w:sz w:val="24"/>
          <w:szCs w:val="24"/>
          <w:lang w:val="en-US" w:eastAsia="ja-JP"/>
        </w:rPr>
        <w:t>4</w:t>
      </w:r>
      <w:r w:rsidR="00C539C7" w:rsidRPr="00ED2F27">
        <w:rPr>
          <w:sz w:val="24"/>
          <w:szCs w:val="24"/>
          <w:lang w:val="en-US"/>
        </w:rPr>
        <w:tab/>
        <w:t>RP-</w:t>
      </w:r>
      <w:r w:rsidR="00EE043B" w:rsidRPr="00ED2F27">
        <w:rPr>
          <w:sz w:val="24"/>
          <w:szCs w:val="24"/>
          <w:lang w:val="en-US"/>
        </w:rPr>
        <w:t>0</w:t>
      </w:r>
      <w:r w:rsidRPr="00ED2F27">
        <w:rPr>
          <w:sz w:val="24"/>
          <w:szCs w:val="24"/>
          <w:lang w:val="en-US"/>
        </w:rPr>
        <w:t>9</w:t>
      </w:r>
      <w:r w:rsidR="000F6407">
        <w:rPr>
          <w:sz w:val="24"/>
          <w:szCs w:val="24"/>
          <w:lang w:val="en-US" w:eastAsia="ja-JP"/>
        </w:rPr>
        <w:t>0610</w:t>
      </w:r>
    </w:p>
    <w:p w:rsidR="00CB40E6" w:rsidRPr="00ED2F27" w:rsidRDefault="003D5CA1" w:rsidP="002E6488">
      <w:pPr>
        <w:rPr>
          <w:rFonts w:ascii="Arial" w:hAnsi="Arial" w:cs="Arial"/>
          <w:b/>
          <w:sz w:val="24"/>
          <w:szCs w:val="24"/>
          <w:lang w:val="en-GB"/>
        </w:rPr>
      </w:pPr>
      <w:r w:rsidRPr="00ED2F27">
        <w:rPr>
          <w:rFonts w:ascii="Arial" w:hAnsi="Arial" w:cs="Arial"/>
          <w:b/>
          <w:sz w:val="24"/>
          <w:szCs w:val="24"/>
          <w:lang w:val="en-GB"/>
        </w:rPr>
        <w:t xml:space="preserve">Aruba, </w:t>
      </w:r>
      <w:r w:rsidRPr="00ED2F27">
        <w:rPr>
          <w:rStyle w:val="Emphasis"/>
          <w:rFonts w:ascii="Arial" w:hAnsi="Arial" w:cs="Arial"/>
          <w:color w:val="000000"/>
          <w:sz w:val="24"/>
          <w:szCs w:val="24"/>
        </w:rPr>
        <w:t>Netherlands</w:t>
      </w:r>
      <w:r w:rsidRPr="00ED2F27">
        <w:rPr>
          <w:rFonts w:ascii="Arial" w:hAnsi="Arial" w:cs="Arial"/>
          <w:b/>
          <w:sz w:val="24"/>
          <w:szCs w:val="24"/>
          <w:lang w:val="en-GB"/>
        </w:rPr>
        <w:t>,  26</w:t>
      </w:r>
      <w:r>
        <w:rPr>
          <w:rFonts w:ascii="Arial" w:hAnsi="Arial" w:cs="Arial"/>
          <w:b/>
          <w:sz w:val="24"/>
          <w:szCs w:val="24"/>
          <w:lang w:val="en-GB"/>
        </w:rPr>
        <w:t xml:space="preserve"> </w:t>
      </w:r>
      <w:r w:rsidRPr="00ED2F27">
        <w:rPr>
          <w:rFonts w:ascii="Arial" w:hAnsi="Arial" w:cs="Arial"/>
          <w:b/>
          <w:sz w:val="24"/>
          <w:szCs w:val="24"/>
          <w:lang w:val="en-GB"/>
        </w:rPr>
        <w:t>- 29 May 2009</w:t>
      </w:r>
    </w:p>
    <w:p w:rsidR="004A7366" w:rsidRPr="00ED2F27" w:rsidRDefault="004A7366" w:rsidP="002E6488">
      <w:pPr>
        <w:tabs>
          <w:tab w:val="left" w:pos="1985"/>
        </w:tabs>
        <w:rPr>
          <w:rFonts w:ascii="Arial" w:hAnsi="Arial"/>
          <w:b/>
          <w:sz w:val="24"/>
          <w:szCs w:val="24"/>
          <w:lang w:val="en-GB"/>
        </w:rPr>
      </w:pPr>
    </w:p>
    <w:p w:rsidR="00CB40E6" w:rsidRPr="00ED2F27" w:rsidRDefault="00CB40E6" w:rsidP="002E6488">
      <w:pPr>
        <w:tabs>
          <w:tab w:val="left" w:pos="1985"/>
        </w:tabs>
        <w:rPr>
          <w:rFonts w:ascii="Arial" w:hAnsi="Arial"/>
          <w:b/>
          <w:sz w:val="24"/>
          <w:szCs w:val="24"/>
          <w:lang w:val="it-IT"/>
        </w:rPr>
      </w:pPr>
      <w:r w:rsidRPr="00ED2F27">
        <w:rPr>
          <w:rFonts w:ascii="Arial" w:hAnsi="Arial"/>
          <w:b/>
          <w:sz w:val="24"/>
          <w:szCs w:val="24"/>
          <w:lang w:val="it-IT"/>
        </w:rPr>
        <w:t>Agenda Item:</w:t>
      </w:r>
      <w:r w:rsidRPr="00ED2F27">
        <w:rPr>
          <w:rFonts w:ascii="Arial" w:hAnsi="Arial"/>
          <w:b/>
          <w:sz w:val="24"/>
          <w:szCs w:val="24"/>
          <w:lang w:val="it-IT"/>
        </w:rPr>
        <w:tab/>
      </w:r>
      <w:bookmarkStart w:id="0" w:name="Source"/>
      <w:bookmarkEnd w:id="0"/>
      <w:r w:rsidR="002D2E98" w:rsidRPr="00ED2F27">
        <w:rPr>
          <w:rFonts w:ascii="Arial" w:hAnsi="Arial"/>
          <w:b/>
          <w:sz w:val="24"/>
          <w:szCs w:val="24"/>
          <w:lang w:val="it-IT"/>
        </w:rPr>
        <w:t>1</w:t>
      </w:r>
      <w:r w:rsidRPr="00ED2F27">
        <w:rPr>
          <w:rFonts w:ascii="Arial" w:hAnsi="Arial"/>
          <w:b/>
          <w:sz w:val="24"/>
          <w:szCs w:val="24"/>
          <w:lang w:val="it-IT"/>
        </w:rPr>
        <w:t>2</w:t>
      </w:r>
      <w:r w:rsidR="006A6D05" w:rsidRPr="00ED2F27">
        <w:rPr>
          <w:rFonts w:ascii="Arial" w:hAnsi="Arial"/>
          <w:b/>
          <w:sz w:val="24"/>
          <w:szCs w:val="24"/>
          <w:lang w:val="it-IT"/>
        </w:rPr>
        <w:t xml:space="preserve"> </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 xml:space="preserve">Source: </w:t>
      </w:r>
      <w:r w:rsidRPr="00ED2F27">
        <w:rPr>
          <w:rFonts w:ascii="Arial" w:hAnsi="Arial"/>
          <w:b/>
          <w:sz w:val="24"/>
          <w:szCs w:val="24"/>
        </w:rPr>
        <w:tab/>
      </w:r>
      <w:r w:rsidR="007166BF" w:rsidRPr="00ED2F27">
        <w:rPr>
          <w:rFonts w:ascii="Arial" w:hAnsi="Arial"/>
          <w:b/>
          <w:sz w:val="24"/>
          <w:szCs w:val="24"/>
        </w:rPr>
        <w:t>AT&amp;T</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 xml:space="preserve">Title: </w:t>
      </w:r>
      <w:r w:rsidRPr="00ED2F27">
        <w:rPr>
          <w:rFonts w:ascii="Arial" w:hAnsi="Arial"/>
          <w:b/>
          <w:sz w:val="24"/>
          <w:szCs w:val="24"/>
        </w:rPr>
        <w:tab/>
      </w:r>
      <w:r w:rsidR="00433BD4" w:rsidRPr="00433BD4">
        <w:rPr>
          <w:rFonts w:ascii="Arial" w:hAnsi="Arial"/>
          <w:b/>
          <w:sz w:val="24"/>
          <w:szCs w:val="24"/>
        </w:rPr>
        <w:t>Problem Description - Per-QC</w:t>
      </w:r>
      <w:r w:rsidR="00433BD4">
        <w:rPr>
          <w:rFonts w:ascii="Arial" w:hAnsi="Arial"/>
          <w:b/>
          <w:sz w:val="24"/>
          <w:szCs w:val="24"/>
        </w:rPr>
        <w:t>I radio link failure timers</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Document for:</w:t>
      </w:r>
      <w:r w:rsidRPr="00ED2F27">
        <w:rPr>
          <w:rFonts w:ascii="Arial" w:hAnsi="Arial"/>
          <w:b/>
          <w:sz w:val="24"/>
          <w:szCs w:val="24"/>
        </w:rPr>
        <w:tab/>
      </w:r>
      <w:bookmarkStart w:id="1" w:name="DocumentFor"/>
      <w:bookmarkEnd w:id="1"/>
      <w:r w:rsidR="00E9608E" w:rsidRPr="00ED2F27">
        <w:rPr>
          <w:rFonts w:ascii="Arial" w:hAnsi="Arial"/>
          <w:b/>
          <w:sz w:val="24"/>
          <w:szCs w:val="24"/>
        </w:rPr>
        <w:t>Discussion</w:t>
      </w:r>
    </w:p>
    <w:p w:rsidR="00CB40E6" w:rsidRPr="007176C0" w:rsidRDefault="00CB40E6" w:rsidP="002E6488">
      <w:pPr>
        <w:pBdr>
          <w:bottom w:val="single" w:sz="12" w:space="1" w:color="auto"/>
        </w:pBdr>
        <w:rPr>
          <w:sz w:val="20"/>
          <w:szCs w:val="20"/>
        </w:rPr>
      </w:pPr>
    </w:p>
    <w:p w:rsidR="00CB40E6" w:rsidRPr="00275FE1" w:rsidRDefault="00390691" w:rsidP="002E6488">
      <w:pPr>
        <w:spacing w:before="240" w:after="240"/>
        <w:rPr>
          <w:rFonts w:ascii="Arial" w:hAnsi="Arial" w:cs="Arial"/>
          <w:b/>
          <w:sz w:val="24"/>
          <w:szCs w:val="24"/>
        </w:rPr>
      </w:pPr>
      <w:r w:rsidRPr="00275FE1">
        <w:rPr>
          <w:rFonts w:ascii="Arial" w:hAnsi="Arial" w:cs="Arial"/>
          <w:b/>
          <w:sz w:val="24"/>
          <w:szCs w:val="24"/>
        </w:rPr>
        <w:t>INTRODUCTION</w:t>
      </w:r>
    </w:p>
    <w:p w:rsidR="0021395B" w:rsidRPr="007176C0" w:rsidRDefault="0021395B" w:rsidP="00842127">
      <w:pPr>
        <w:rPr>
          <w:rFonts w:ascii="Arial" w:hAnsi="Arial" w:cs="Arial"/>
          <w:sz w:val="20"/>
          <w:szCs w:val="20"/>
        </w:rPr>
      </w:pPr>
      <w:r w:rsidRPr="007176C0">
        <w:rPr>
          <w:rFonts w:ascii="Arial" w:hAnsi="Arial" w:cs="Arial"/>
          <w:sz w:val="20"/>
          <w:szCs w:val="20"/>
        </w:rPr>
        <w:t xml:space="preserve">This paper describes the problem of </w:t>
      </w:r>
      <w:r w:rsidR="00FF3F85">
        <w:rPr>
          <w:rFonts w:ascii="Arial" w:hAnsi="Arial" w:cs="Arial"/>
          <w:sz w:val="20"/>
          <w:szCs w:val="20"/>
        </w:rPr>
        <w:t xml:space="preserve">setting </w:t>
      </w:r>
      <w:r w:rsidR="00EC52A7">
        <w:rPr>
          <w:rFonts w:ascii="Arial" w:hAnsi="Arial" w:cs="Arial"/>
          <w:sz w:val="20"/>
          <w:szCs w:val="20"/>
        </w:rPr>
        <w:t>p</w:t>
      </w:r>
      <w:r w:rsidR="00EC52A7" w:rsidRPr="00EC52A7">
        <w:rPr>
          <w:rFonts w:ascii="Arial" w:hAnsi="Arial" w:cs="Arial"/>
          <w:sz w:val="20"/>
          <w:szCs w:val="20"/>
        </w:rPr>
        <w:t>er-QCI radio link failure timers</w:t>
      </w:r>
      <w:r w:rsidR="00EC52A7">
        <w:rPr>
          <w:rFonts w:ascii="Arial" w:hAnsi="Arial" w:cs="Arial"/>
          <w:sz w:val="20"/>
          <w:szCs w:val="20"/>
        </w:rPr>
        <w:t>.</w:t>
      </w:r>
    </w:p>
    <w:p w:rsidR="00F87EBA" w:rsidRPr="00F87EBA" w:rsidRDefault="00F87EBA" w:rsidP="00F87EBA">
      <w:pPr>
        <w:rPr>
          <w:rFonts w:ascii="Arial" w:hAnsi="Arial" w:cs="Arial"/>
          <w:sz w:val="20"/>
          <w:szCs w:val="20"/>
        </w:rPr>
      </w:pPr>
    </w:p>
    <w:p w:rsidR="00061F4B" w:rsidRDefault="00F87EBA" w:rsidP="00F87EBA">
      <w:pPr>
        <w:rPr>
          <w:rFonts w:ascii="Arial" w:hAnsi="Arial" w:cs="Arial"/>
          <w:sz w:val="20"/>
          <w:szCs w:val="20"/>
        </w:rPr>
      </w:pPr>
      <w:r>
        <w:rPr>
          <w:rFonts w:ascii="Arial" w:hAnsi="Arial" w:cs="Arial"/>
          <w:sz w:val="20"/>
          <w:szCs w:val="20"/>
        </w:rPr>
        <w:t>Of p</w:t>
      </w:r>
      <w:r w:rsidRPr="00F87EBA">
        <w:rPr>
          <w:rFonts w:ascii="Arial" w:hAnsi="Arial" w:cs="Arial"/>
          <w:sz w:val="20"/>
          <w:szCs w:val="20"/>
        </w:rPr>
        <w:t>rimary interest is to preserve the separate voice and data radio link failure timer settings we previously had for UMTS and G</w:t>
      </w:r>
      <w:r>
        <w:rPr>
          <w:rFonts w:ascii="Arial" w:hAnsi="Arial" w:cs="Arial"/>
          <w:sz w:val="20"/>
          <w:szCs w:val="20"/>
        </w:rPr>
        <w:t>SM. For LTE, this means QCI1 (Vo</w:t>
      </w:r>
      <w:r w:rsidRPr="00F87EBA">
        <w:rPr>
          <w:rFonts w:ascii="Arial" w:hAnsi="Arial" w:cs="Arial"/>
          <w:sz w:val="20"/>
          <w:szCs w:val="20"/>
        </w:rPr>
        <w:t xml:space="preserve">IP) must have a different radio link failure timer </w:t>
      </w:r>
      <w:r>
        <w:rPr>
          <w:rFonts w:ascii="Arial" w:hAnsi="Arial" w:cs="Arial"/>
          <w:sz w:val="20"/>
          <w:szCs w:val="20"/>
        </w:rPr>
        <w:t xml:space="preserve">than the other QCI classes 2-9. </w:t>
      </w:r>
      <w:r w:rsidRPr="00F87EBA">
        <w:rPr>
          <w:rFonts w:ascii="Arial" w:hAnsi="Arial" w:cs="Arial"/>
          <w:sz w:val="20"/>
          <w:szCs w:val="20"/>
        </w:rPr>
        <w:t xml:space="preserve">Other data services assigned to QCI classes 2-9 </w:t>
      </w:r>
      <w:r>
        <w:rPr>
          <w:rFonts w:ascii="Arial" w:hAnsi="Arial" w:cs="Arial"/>
          <w:sz w:val="20"/>
          <w:szCs w:val="20"/>
        </w:rPr>
        <w:t>will</w:t>
      </w:r>
      <w:r w:rsidRPr="00F87EBA">
        <w:rPr>
          <w:rFonts w:ascii="Arial" w:hAnsi="Arial" w:cs="Arial"/>
          <w:sz w:val="20"/>
          <w:szCs w:val="20"/>
        </w:rPr>
        <w:t xml:space="preserve"> have different GBR and interruption tolerance requirements: and should therefore have different radio link timer settings as well</w:t>
      </w:r>
      <w:r>
        <w:rPr>
          <w:rFonts w:ascii="Arial" w:hAnsi="Arial" w:cs="Arial"/>
          <w:sz w:val="20"/>
          <w:szCs w:val="20"/>
        </w:rPr>
        <w:t xml:space="preserve">. In </w:t>
      </w:r>
      <w:r w:rsidRPr="00F87EBA">
        <w:rPr>
          <w:rFonts w:ascii="Arial" w:hAnsi="Arial" w:cs="Arial"/>
          <w:sz w:val="20"/>
          <w:szCs w:val="20"/>
        </w:rPr>
        <w:t xml:space="preserve">mixed-QCI scenarios (for example a single UE has QCI 1, 4 and 9), the shortest radio link timer (likely QCI1) </w:t>
      </w:r>
      <w:r>
        <w:rPr>
          <w:rFonts w:ascii="Arial" w:hAnsi="Arial" w:cs="Arial"/>
          <w:sz w:val="20"/>
          <w:szCs w:val="20"/>
        </w:rPr>
        <w:t>would</w:t>
      </w:r>
      <w:r w:rsidRPr="00F87EBA">
        <w:rPr>
          <w:rFonts w:ascii="Arial" w:hAnsi="Arial" w:cs="Arial"/>
          <w:sz w:val="20"/>
          <w:szCs w:val="20"/>
        </w:rPr>
        <w:t xml:space="preserve"> apply</w:t>
      </w:r>
      <w:r>
        <w:rPr>
          <w:rFonts w:ascii="Arial" w:hAnsi="Arial" w:cs="Arial"/>
          <w:sz w:val="20"/>
          <w:szCs w:val="20"/>
        </w:rPr>
        <w:t>.</w:t>
      </w:r>
    </w:p>
    <w:p w:rsidR="00196AB8" w:rsidRPr="007176C0" w:rsidRDefault="00196AB8" w:rsidP="00F87EBA">
      <w:pPr>
        <w:rPr>
          <w:rFonts w:ascii="Arial" w:hAnsi="Arial" w:cs="Arial"/>
          <w:sz w:val="20"/>
          <w:szCs w:val="20"/>
        </w:rPr>
      </w:pPr>
    </w:p>
    <w:p w:rsidR="00390691" w:rsidRPr="00275FE1" w:rsidRDefault="00390691" w:rsidP="002E6488">
      <w:pPr>
        <w:spacing w:before="240" w:after="240"/>
        <w:rPr>
          <w:rFonts w:ascii="Arial" w:hAnsi="Arial" w:cs="Arial"/>
          <w:b/>
          <w:sz w:val="24"/>
          <w:szCs w:val="24"/>
        </w:rPr>
      </w:pPr>
      <w:r w:rsidRPr="00275FE1">
        <w:rPr>
          <w:rFonts w:ascii="Arial" w:hAnsi="Arial" w:cs="Arial"/>
          <w:b/>
          <w:sz w:val="24"/>
          <w:szCs w:val="24"/>
        </w:rPr>
        <w:t>DISCUSSION</w:t>
      </w:r>
    </w:p>
    <w:p w:rsidR="001C5465" w:rsidRDefault="00076966" w:rsidP="002E6488">
      <w:pPr>
        <w:rPr>
          <w:rFonts w:ascii="Arial" w:hAnsi="Arial" w:cs="Arial"/>
          <w:sz w:val="20"/>
          <w:szCs w:val="20"/>
        </w:rPr>
      </w:pPr>
      <w:r w:rsidRPr="00076966">
        <w:rPr>
          <w:rFonts w:ascii="Arial" w:hAnsi="Arial" w:cs="Arial"/>
          <w:sz w:val="20"/>
          <w:szCs w:val="20"/>
        </w:rPr>
        <w:t>Various QCI services have different GBR requirements and interruption tolerances yet 3GPP R8 allows for only one single radio link failure timer for all served QCI classes. For single-QCI usage combinations, this means the radio link timer setting must be a sub-optimal compromise for all the various QCI classes that could be served. For multi-QCI service combinations, this single timer obviously applies to all served QCI services. This limitation prevents the continued use of separate radio link failure timers for voice and non-voice services on LTE. This capability was available for UMTS and GSM, which had separate radio link failure timers for CS voice and PS data services. Our interest is to first enable LTE support for different voice and data radio link failure timer settings (legacy support). We would also like to use different radio link failure timers for data services that have different GBR, interruption tolerance</w:t>
      </w:r>
      <w:r w:rsidR="00B50071">
        <w:rPr>
          <w:rFonts w:ascii="Arial" w:hAnsi="Arial" w:cs="Arial"/>
          <w:sz w:val="20"/>
          <w:szCs w:val="20"/>
        </w:rPr>
        <w:t>s</w:t>
      </w:r>
      <w:r w:rsidRPr="00076966">
        <w:rPr>
          <w:rFonts w:ascii="Arial" w:hAnsi="Arial" w:cs="Arial"/>
          <w:sz w:val="20"/>
          <w:szCs w:val="20"/>
        </w:rPr>
        <w:t xml:space="preserve"> and QCI.</w:t>
      </w:r>
    </w:p>
    <w:p w:rsidR="00076966" w:rsidRPr="007176C0" w:rsidRDefault="00076966" w:rsidP="002E6488">
      <w:pPr>
        <w:rPr>
          <w:rFonts w:ascii="Arial" w:hAnsi="Arial" w:cs="Arial"/>
          <w:sz w:val="20"/>
          <w:szCs w:val="20"/>
        </w:rPr>
      </w:pPr>
    </w:p>
    <w:p w:rsidR="000C3490" w:rsidRDefault="00076966" w:rsidP="00076966">
      <w:pPr>
        <w:rPr>
          <w:rFonts w:ascii="Arial" w:hAnsi="Arial" w:cs="Arial"/>
          <w:sz w:val="20"/>
          <w:szCs w:val="20"/>
        </w:rPr>
      </w:pPr>
      <w:r>
        <w:rPr>
          <w:rFonts w:ascii="Arial" w:hAnsi="Arial" w:cs="Arial"/>
          <w:sz w:val="20"/>
          <w:szCs w:val="20"/>
        </w:rPr>
        <w:t>The question relates to whether the radio link s</w:t>
      </w:r>
      <w:r w:rsidRPr="00076966">
        <w:rPr>
          <w:rFonts w:ascii="Arial" w:hAnsi="Arial" w:cs="Arial"/>
          <w:sz w:val="20"/>
          <w:szCs w:val="20"/>
        </w:rPr>
        <w:t xml:space="preserve">upervision algorithm </w:t>
      </w:r>
      <w:r>
        <w:rPr>
          <w:rFonts w:ascii="Arial" w:hAnsi="Arial" w:cs="Arial"/>
          <w:sz w:val="20"/>
          <w:szCs w:val="20"/>
        </w:rPr>
        <w:t xml:space="preserve">is </w:t>
      </w:r>
      <w:r w:rsidRPr="00076966">
        <w:rPr>
          <w:rFonts w:ascii="Arial" w:hAnsi="Arial" w:cs="Arial"/>
          <w:sz w:val="20"/>
          <w:szCs w:val="20"/>
        </w:rPr>
        <w:t>configurable based on QCI</w:t>
      </w:r>
      <w:r>
        <w:rPr>
          <w:rFonts w:ascii="Arial" w:hAnsi="Arial" w:cs="Arial"/>
          <w:sz w:val="20"/>
          <w:szCs w:val="20"/>
        </w:rPr>
        <w:t xml:space="preserve">. </w:t>
      </w:r>
      <w:r w:rsidRPr="00076966">
        <w:rPr>
          <w:rFonts w:ascii="Arial" w:hAnsi="Arial" w:cs="Arial"/>
          <w:sz w:val="20"/>
          <w:szCs w:val="20"/>
        </w:rPr>
        <w:t xml:space="preserve">UL radio link supervision is the function of </w:t>
      </w:r>
      <w:r>
        <w:rPr>
          <w:rFonts w:ascii="Arial" w:hAnsi="Arial" w:cs="Arial"/>
          <w:sz w:val="20"/>
          <w:szCs w:val="20"/>
        </w:rPr>
        <w:t xml:space="preserve">the </w:t>
      </w:r>
      <w:r w:rsidRPr="00076966">
        <w:rPr>
          <w:rFonts w:ascii="Arial" w:hAnsi="Arial" w:cs="Arial"/>
          <w:sz w:val="20"/>
          <w:szCs w:val="20"/>
        </w:rPr>
        <w:t xml:space="preserve">eNB.  It is vendor proprietary, but the same principle as the DL radio link monitoring defined in TS 36.331 applies.  It is not QCI-dependent currently because the benefit of using QCI-dependent scheme is </w:t>
      </w:r>
      <w:r>
        <w:rPr>
          <w:rFonts w:ascii="Arial" w:hAnsi="Arial" w:cs="Arial"/>
          <w:sz w:val="20"/>
          <w:szCs w:val="20"/>
        </w:rPr>
        <w:t xml:space="preserve">apparently </w:t>
      </w:r>
      <w:r w:rsidR="001B233E">
        <w:rPr>
          <w:rFonts w:ascii="Arial" w:hAnsi="Arial" w:cs="Arial"/>
          <w:sz w:val="20"/>
          <w:szCs w:val="20"/>
        </w:rPr>
        <w:t>not clear.</w:t>
      </w:r>
    </w:p>
    <w:p w:rsidR="00CF6165" w:rsidRDefault="00CF6165" w:rsidP="00076966">
      <w:pPr>
        <w:rPr>
          <w:rFonts w:ascii="Arial" w:hAnsi="Arial" w:cs="Arial"/>
          <w:sz w:val="20"/>
          <w:szCs w:val="20"/>
        </w:rPr>
      </w:pPr>
    </w:p>
    <w:p w:rsidR="00CF6165" w:rsidRDefault="00CF6165" w:rsidP="00076966">
      <w:pPr>
        <w:rPr>
          <w:rFonts w:ascii="Arial" w:hAnsi="Arial" w:cs="Arial"/>
          <w:sz w:val="20"/>
          <w:szCs w:val="20"/>
        </w:rPr>
      </w:pPr>
    </w:p>
    <w:p w:rsidR="00CF6165" w:rsidRDefault="00CF6165" w:rsidP="00076966">
      <w:pPr>
        <w:rPr>
          <w:rFonts w:ascii="Arial" w:hAnsi="Arial" w:cs="Arial"/>
          <w:sz w:val="20"/>
          <w:szCs w:val="20"/>
        </w:rPr>
      </w:pPr>
    </w:p>
    <w:p w:rsidR="00CF6165" w:rsidRDefault="00CF6165" w:rsidP="00076966">
      <w:pPr>
        <w:rPr>
          <w:rFonts w:ascii="Arial" w:hAnsi="Arial" w:cs="Arial"/>
          <w:sz w:val="20"/>
          <w:szCs w:val="20"/>
        </w:rPr>
      </w:pPr>
    </w:p>
    <w:p w:rsidR="00CF6165" w:rsidRDefault="00CF6165" w:rsidP="00076966">
      <w:pPr>
        <w:rPr>
          <w:rFonts w:ascii="Arial" w:hAnsi="Arial" w:cs="Arial"/>
          <w:sz w:val="20"/>
          <w:szCs w:val="20"/>
        </w:rPr>
      </w:pPr>
    </w:p>
    <w:p w:rsidR="000C3490" w:rsidRDefault="000C3490" w:rsidP="00076966">
      <w:pPr>
        <w:rPr>
          <w:rFonts w:ascii="Arial" w:hAnsi="Arial" w:cs="Arial"/>
          <w:sz w:val="20"/>
          <w:szCs w:val="20"/>
        </w:rPr>
      </w:pPr>
    </w:p>
    <w:p w:rsidR="00275FE1" w:rsidRDefault="00076966" w:rsidP="00076966">
      <w:pPr>
        <w:rPr>
          <w:rFonts w:ascii="Arial" w:hAnsi="Arial" w:cs="Arial"/>
          <w:sz w:val="20"/>
          <w:szCs w:val="20"/>
        </w:rPr>
      </w:pPr>
      <w:r w:rsidRPr="00076966">
        <w:rPr>
          <w:rFonts w:ascii="Arial" w:hAnsi="Arial" w:cs="Arial"/>
          <w:sz w:val="20"/>
          <w:szCs w:val="20"/>
        </w:rPr>
        <w:t>Further, in the c</w:t>
      </w:r>
      <w:r w:rsidR="001B233E">
        <w:rPr>
          <w:rFonts w:ascii="Arial" w:hAnsi="Arial" w:cs="Arial"/>
          <w:sz w:val="20"/>
          <w:szCs w:val="20"/>
        </w:rPr>
        <w:t xml:space="preserve">ase of combinational services, it </w:t>
      </w:r>
      <w:r w:rsidR="00CF6165">
        <w:rPr>
          <w:rFonts w:ascii="Arial" w:hAnsi="Arial" w:cs="Arial"/>
          <w:sz w:val="20"/>
          <w:szCs w:val="20"/>
        </w:rPr>
        <w:t>may be</w:t>
      </w:r>
      <w:r w:rsidR="001B233E">
        <w:rPr>
          <w:rFonts w:ascii="Arial" w:hAnsi="Arial" w:cs="Arial"/>
          <w:sz w:val="20"/>
          <w:szCs w:val="20"/>
        </w:rPr>
        <w:t xml:space="preserve"> </w:t>
      </w:r>
      <w:r w:rsidRPr="00076966">
        <w:rPr>
          <w:rFonts w:ascii="Arial" w:hAnsi="Arial" w:cs="Arial"/>
          <w:sz w:val="20"/>
          <w:szCs w:val="20"/>
        </w:rPr>
        <w:t>possible to set T310 and T311 timers to suit the most demanding QCI s</w:t>
      </w:r>
      <w:r w:rsidR="001B233E">
        <w:rPr>
          <w:rFonts w:ascii="Arial" w:hAnsi="Arial" w:cs="Arial"/>
          <w:sz w:val="20"/>
          <w:szCs w:val="20"/>
        </w:rPr>
        <w:t>ervice.</w:t>
      </w:r>
      <w:r w:rsidR="000C3490">
        <w:rPr>
          <w:rFonts w:ascii="Arial" w:hAnsi="Arial" w:cs="Arial"/>
          <w:sz w:val="20"/>
          <w:szCs w:val="20"/>
        </w:rPr>
        <w:t xml:space="preserve"> </w:t>
      </w:r>
      <w:r w:rsidR="001B233E">
        <w:rPr>
          <w:rFonts w:ascii="Arial" w:hAnsi="Arial" w:cs="Arial"/>
          <w:sz w:val="20"/>
          <w:szCs w:val="20"/>
        </w:rPr>
        <w:t xml:space="preserve">This has to be investigated to ensure that un-intended consequence such as </w:t>
      </w:r>
      <w:r w:rsidRPr="00076966">
        <w:rPr>
          <w:rFonts w:ascii="Arial" w:hAnsi="Arial" w:cs="Arial"/>
          <w:sz w:val="20"/>
          <w:szCs w:val="20"/>
        </w:rPr>
        <w:t>when T310 and T331 are set based on</w:t>
      </w:r>
      <w:r w:rsidR="00474C5B">
        <w:rPr>
          <w:rFonts w:ascii="Arial" w:hAnsi="Arial" w:cs="Arial"/>
          <w:sz w:val="20"/>
          <w:szCs w:val="20"/>
        </w:rPr>
        <w:t xml:space="preserve"> the</w:t>
      </w:r>
      <w:r w:rsidRPr="00076966">
        <w:rPr>
          <w:rFonts w:ascii="Arial" w:hAnsi="Arial" w:cs="Arial"/>
          <w:sz w:val="20"/>
          <w:szCs w:val="20"/>
        </w:rPr>
        <w:t xml:space="preserve"> most demanding QCI service (assuming shorter values)</w:t>
      </w:r>
      <w:r w:rsidR="001B233E">
        <w:rPr>
          <w:rFonts w:ascii="Arial" w:hAnsi="Arial" w:cs="Arial"/>
          <w:sz w:val="20"/>
          <w:szCs w:val="20"/>
        </w:rPr>
        <w:t>, performance of doing so doesn’t become un-</w:t>
      </w:r>
      <w:r w:rsidRPr="00076966">
        <w:rPr>
          <w:rFonts w:ascii="Arial" w:hAnsi="Arial" w:cs="Arial"/>
          <w:sz w:val="20"/>
          <w:szCs w:val="20"/>
        </w:rPr>
        <w:t xml:space="preserve">predictable.  Sometimes, if the UE is temporary out of sync, a shorter T310 </w:t>
      </w:r>
      <w:r w:rsidR="003C3142">
        <w:rPr>
          <w:rFonts w:ascii="Arial" w:hAnsi="Arial" w:cs="Arial"/>
          <w:sz w:val="20"/>
          <w:szCs w:val="20"/>
        </w:rPr>
        <w:t>may cause</w:t>
      </w:r>
      <w:r w:rsidRPr="00076966">
        <w:rPr>
          <w:rFonts w:ascii="Arial" w:hAnsi="Arial" w:cs="Arial"/>
          <w:sz w:val="20"/>
          <w:szCs w:val="20"/>
        </w:rPr>
        <w:t xml:space="preserve"> unnecessary RRC signaling and change of states.</w:t>
      </w:r>
    </w:p>
    <w:p w:rsidR="00063A81" w:rsidRPr="007176C0" w:rsidRDefault="00063A81" w:rsidP="00076966">
      <w:pPr>
        <w:rPr>
          <w:rFonts w:ascii="Arial" w:hAnsi="Arial" w:cs="Arial"/>
          <w:sz w:val="20"/>
          <w:szCs w:val="20"/>
        </w:rPr>
      </w:pPr>
    </w:p>
    <w:p w:rsidR="00390691" w:rsidRPr="0040291B" w:rsidRDefault="00390691" w:rsidP="002E6488">
      <w:pPr>
        <w:spacing w:before="240" w:after="240"/>
        <w:rPr>
          <w:rFonts w:ascii="Arial" w:hAnsi="Arial" w:cs="Arial"/>
          <w:b/>
          <w:sz w:val="24"/>
          <w:szCs w:val="24"/>
        </w:rPr>
      </w:pPr>
      <w:r w:rsidRPr="0040291B">
        <w:rPr>
          <w:rFonts w:ascii="Arial" w:hAnsi="Arial" w:cs="Arial"/>
          <w:b/>
          <w:sz w:val="24"/>
          <w:szCs w:val="24"/>
        </w:rPr>
        <w:t>PR</w:t>
      </w:r>
      <w:r w:rsidR="002C5D32" w:rsidRPr="0040291B">
        <w:rPr>
          <w:rFonts w:ascii="Arial" w:hAnsi="Arial" w:cs="Arial"/>
          <w:b/>
          <w:sz w:val="24"/>
          <w:szCs w:val="24"/>
        </w:rPr>
        <w:t>O</w:t>
      </w:r>
      <w:r w:rsidRPr="0040291B">
        <w:rPr>
          <w:rFonts w:ascii="Arial" w:hAnsi="Arial" w:cs="Arial"/>
          <w:b/>
          <w:sz w:val="24"/>
          <w:szCs w:val="24"/>
        </w:rPr>
        <w:t>POSAL</w:t>
      </w:r>
    </w:p>
    <w:p w:rsidR="008D464C" w:rsidRPr="007176C0" w:rsidRDefault="00EA2304" w:rsidP="002E6488">
      <w:pPr>
        <w:rPr>
          <w:rFonts w:ascii="Arial" w:hAnsi="Arial" w:cs="Arial"/>
          <w:sz w:val="20"/>
          <w:szCs w:val="20"/>
        </w:rPr>
      </w:pPr>
      <w:r w:rsidRPr="007176C0">
        <w:rPr>
          <w:rFonts w:ascii="Arial" w:hAnsi="Arial" w:cs="Arial"/>
          <w:sz w:val="20"/>
          <w:szCs w:val="20"/>
        </w:rPr>
        <w:t>It is proposed that RAN and the relevant WGs</w:t>
      </w:r>
      <w:r w:rsidR="001C5465" w:rsidRPr="007176C0">
        <w:rPr>
          <w:rFonts w:ascii="Arial" w:hAnsi="Arial" w:cs="Arial"/>
          <w:sz w:val="20"/>
          <w:szCs w:val="20"/>
        </w:rPr>
        <w:t xml:space="preserve"> specify</w:t>
      </w:r>
      <w:r w:rsidR="00311A8C" w:rsidRPr="007176C0">
        <w:rPr>
          <w:rFonts w:ascii="Arial" w:hAnsi="Arial" w:cs="Arial"/>
          <w:sz w:val="20"/>
          <w:szCs w:val="20"/>
        </w:rPr>
        <w:t>, within Release 9,</w:t>
      </w:r>
      <w:r w:rsidR="001C5465" w:rsidRPr="007176C0">
        <w:rPr>
          <w:rFonts w:ascii="Arial" w:hAnsi="Arial" w:cs="Arial"/>
          <w:sz w:val="20"/>
          <w:szCs w:val="20"/>
        </w:rPr>
        <w:t xml:space="preserve"> </w:t>
      </w:r>
      <w:r w:rsidRPr="007176C0">
        <w:rPr>
          <w:rFonts w:ascii="Arial" w:hAnsi="Arial" w:cs="Arial"/>
          <w:sz w:val="20"/>
          <w:szCs w:val="20"/>
        </w:rPr>
        <w:t>radio-related</w:t>
      </w:r>
      <w:r w:rsidR="001C5465" w:rsidRPr="007176C0">
        <w:rPr>
          <w:rFonts w:ascii="Arial" w:hAnsi="Arial" w:cs="Arial"/>
          <w:sz w:val="20"/>
          <w:szCs w:val="20"/>
        </w:rPr>
        <w:t xml:space="preserve"> enhancements to enable </w:t>
      </w:r>
      <w:r w:rsidR="00474C5B">
        <w:rPr>
          <w:rFonts w:ascii="Arial" w:hAnsi="Arial" w:cs="Arial"/>
          <w:sz w:val="20"/>
          <w:szCs w:val="20"/>
        </w:rPr>
        <w:t xml:space="preserve">the </w:t>
      </w:r>
      <w:r w:rsidR="00474C5B" w:rsidRPr="00076966">
        <w:rPr>
          <w:rFonts w:ascii="Arial" w:hAnsi="Arial" w:cs="Arial"/>
          <w:sz w:val="20"/>
          <w:szCs w:val="20"/>
        </w:rPr>
        <w:t xml:space="preserve">use </w:t>
      </w:r>
      <w:r w:rsidR="00474C5B">
        <w:rPr>
          <w:rFonts w:ascii="Arial" w:hAnsi="Arial" w:cs="Arial"/>
          <w:sz w:val="20"/>
          <w:szCs w:val="20"/>
        </w:rPr>
        <w:t xml:space="preserve">of </w:t>
      </w:r>
      <w:r w:rsidR="00474C5B" w:rsidRPr="00076966">
        <w:rPr>
          <w:rFonts w:ascii="Arial" w:hAnsi="Arial" w:cs="Arial"/>
          <w:sz w:val="20"/>
          <w:szCs w:val="20"/>
        </w:rPr>
        <w:t>different radio link failure timers for data services that have differ</w:t>
      </w:r>
      <w:r w:rsidR="006E6A21">
        <w:rPr>
          <w:rFonts w:ascii="Arial" w:hAnsi="Arial" w:cs="Arial"/>
          <w:sz w:val="20"/>
          <w:szCs w:val="20"/>
        </w:rPr>
        <w:t xml:space="preserve">ent GBR, interruption tolerances </w:t>
      </w:r>
      <w:r w:rsidR="00474C5B" w:rsidRPr="00076966">
        <w:rPr>
          <w:rFonts w:ascii="Arial" w:hAnsi="Arial" w:cs="Arial"/>
          <w:sz w:val="20"/>
          <w:szCs w:val="20"/>
        </w:rPr>
        <w:t>and QCI.</w:t>
      </w:r>
      <w:r w:rsidR="00933491">
        <w:rPr>
          <w:rFonts w:ascii="Arial" w:hAnsi="Arial" w:cs="Arial"/>
          <w:sz w:val="20"/>
          <w:szCs w:val="20"/>
        </w:rPr>
        <w:t xml:space="preserve"> We believe this is a simple enough problem that can be dealt with, within the scope of TEI9.</w:t>
      </w:r>
    </w:p>
    <w:p w:rsidR="008D464C" w:rsidRPr="007176C0" w:rsidRDefault="008D464C" w:rsidP="002E6488">
      <w:pPr>
        <w:rPr>
          <w:rFonts w:ascii="Arial" w:hAnsi="Arial" w:cs="Arial"/>
          <w:sz w:val="20"/>
          <w:szCs w:val="20"/>
        </w:rPr>
      </w:pPr>
    </w:p>
    <w:p w:rsidR="000E6A40" w:rsidRPr="002E6488" w:rsidRDefault="000E6A40" w:rsidP="002E6488">
      <w:pPr>
        <w:rPr>
          <w:rFonts w:ascii="Arial" w:hAnsi="Arial" w:cs="Arial"/>
          <w:sz w:val="20"/>
          <w:szCs w:val="20"/>
        </w:rPr>
      </w:pPr>
    </w:p>
    <w:sectPr w:rsidR="000E6A40" w:rsidRPr="002E6488" w:rsidSect="000111FE">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517" w:rsidRDefault="002D5517" w:rsidP="00F45B7A">
      <w:r>
        <w:separator/>
      </w:r>
    </w:p>
  </w:endnote>
  <w:endnote w:type="continuationSeparator" w:id="1">
    <w:p w:rsidR="002D5517" w:rsidRDefault="002D5517" w:rsidP="00F45B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sz w:val="16"/>
        <w:szCs w:val="16"/>
      </w:rPr>
      <w:id w:val="22815094"/>
      <w:docPartObj>
        <w:docPartGallery w:val="Page Numbers (Bottom of Page)"/>
        <w:docPartUnique/>
      </w:docPartObj>
    </w:sdtPr>
    <w:sdtContent>
      <w:sdt>
        <w:sdtPr>
          <w:rPr>
            <w:rFonts w:ascii="Verdana" w:hAnsi="Verdana"/>
            <w:sz w:val="16"/>
            <w:szCs w:val="16"/>
          </w:rPr>
          <w:id w:val="565050477"/>
          <w:docPartObj>
            <w:docPartGallery w:val="Page Numbers (Top of Page)"/>
            <w:docPartUnique/>
          </w:docPartObj>
        </w:sdtPr>
        <w:sdtContent>
          <w:p w:rsidR="00F45B7A" w:rsidRPr="00F45B7A" w:rsidRDefault="00F45B7A">
            <w:pPr>
              <w:pStyle w:val="Footer"/>
              <w:jc w:val="center"/>
              <w:rPr>
                <w:rFonts w:ascii="Verdana" w:hAnsi="Verdana"/>
                <w:sz w:val="16"/>
                <w:szCs w:val="16"/>
              </w:rPr>
            </w:pPr>
            <w:r w:rsidRPr="00F45B7A">
              <w:rPr>
                <w:rFonts w:ascii="Verdana" w:hAnsi="Verdana"/>
                <w:sz w:val="16"/>
                <w:szCs w:val="16"/>
              </w:rPr>
              <w:t xml:space="preserve">Page </w:t>
            </w:r>
            <w:r w:rsidR="000C306B" w:rsidRPr="00F45B7A">
              <w:rPr>
                <w:rFonts w:ascii="Verdana" w:hAnsi="Verdana"/>
                <w:sz w:val="16"/>
                <w:szCs w:val="16"/>
              </w:rPr>
              <w:fldChar w:fldCharType="begin"/>
            </w:r>
            <w:r w:rsidRPr="00F45B7A">
              <w:rPr>
                <w:rFonts w:ascii="Verdana" w:hAnsi="Verdana"/>
                <w:sz w:val="16"/>
                <w:szCs w:val="16"/>
              </w:rPr>
              <w:instrText xml:space="preserve"> PAGE </w:instrText>
            </w:r>
            <w:r w:rsidR="000C306B" w:rsidRPr="00F45B7A">
              <w:rPr>
                <w:rFonts w:ascii="Verdana" w:hAnsi="Verdana"/>
                <w:sz w:val="16"/>
                <w:szCs w:val="16"/>
              </w:rPr>
              <w:fldChar w:fldCharType="separate"/>
            </w:r>
            <w:r w:rsidR="000F6407">
              <w:rPr>
                <w:rFonts w:ascii="Verdana" w:hAnsi="Verdana"/>
                <w:noProof/>
                <w:sz w:val="16"/>
                <w:szCs w:val="16"/>
              </w:rPr>
              <w:t>1</w:t>
            </w:r>
            <w:r w:rsidR="000C306B" w:rsidRPr="00F45B7A">
              <w:rPr>
                <w:rFonts w:ascii="Verdana" w:hAnsi="Verdana"/>
                <w:sz w:val="16"/>
                <w:szCs w:val="16"/>
              </w:rPr>
              <w:fldChar w:fldCharType="end"/>
            </w:r>
            <w:r w:rsidRPr="00F45B7A">
              <w:rPr>
                <w:rFonts w:ascii="Verdana" w:hAnsi="Verdana"/>
                <w:sz w:val="16"/>
                <w:szCs w:val="16"/>
              </w:rPr>
              <w:t xml:space="preserve"> of </w:t>
            </w:r>
            <w:r w:rsidR="000C306B" w:rsidRPr="00F45B7A">
              <w:rPr>
                <w:rFonts w:ascii="Verdana" w:hAnsi="Verdana"/>
                <w:sz w:val="16"/>
                <w:szCs w:val="16"/>
              </w:rPr>
              <w:fldChar w:fldCharType="begin"/>
            </w:r>
            <w:r w:rsidRPr="00F45B7A">
              <w:rPr>
                <w:rFonts w:ascii="Verdana" w:hAnsi="Verdana"/>
                <w:sz w:val="16"/>
                <w:szCs w:val="16"/>
              </w:rPr>
              <w:instrText xml:space="preserve"> NUMPAGES  </w:instrText>
            </w:r>
            <w:r w:rsidR="000C306B" w:rsidRPr="00F45B7A">
              <w:rPr>
                <w:rFonts w:ascii="Verdana" w:hAnsi="Verdana"/>
                <w:sz w:val="16"/>
                <w:szCs w:val="16"/>
              </w:rPr>
              <w:fldChar w:fldCharType="separate"/>
            </w:r>
            <w:r w:rsidR="000F6407">
              <w:rPr>
                <w:rFonts w:ascii="Verdana" w:hAnsi="Verdana"/>
                <w:noProof/>
                <w:sz w:val="16"/>
                <w:szCs w:val="16"/>
              </w:rPr>
              <w:t>2</w:t>
            </w:r>
            <w:r w:rsidR="000C306B" w:rsidRPr="00F45B7A">
              <w:rPr>
                <w:rFonts w:ascii="Verdana" w:hAnsi="Verdana"/>
                <w:sz w:val="16"/>
                <w:szCs w:val="16"/>
              </w:rPr>
              <w:fldChar w:fldCharType="end"/>
            </w:r>
          </w:p>
        </w:sdtContent>
      </w:sdt>
    </w:sdtContent>
  </w:sdt>
  <w:p w:rsidR="00F45B7A" w:rsidRDefault="00F45B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517" w:rsidRDefault="002D5517" w:rsidP="00F45B7A">
      <w:r>
        <w:separator/>
      </w:r>
    </w:p>
  </w:footnote>
  <w:footnote w:type="continuationSeparator" w:id="1">
    <w:p w:rsidR="002D5517" w:rsidRDefault="002D5517" w:rsidP="00F45B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E50"/>
    <w:multiLevelType w:val="hybridMultilevel"/>
    <w:tmpl w:val="4208A8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0B875B7D"/>
    <w:multiLevelType w:val="hybridMultilevel"/>
    <w:tmpl w:val="2EC23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nsid w:val="33C84EEB"/>
    <w:multiLevelType w:val="hybridMultilevel"/>
    <w:tmpl w:val="88CA0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B0625B2"/>
    <w:multiLevelType w:val="hybridMultilevel"/>
    <w:tmpl w:val="BFFEF3DE"/>
    <w:lvl w:ilvl="0" w:tplc="57EA302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262CAE"/>
    <w:multiLevelType w:val="hybridMultilevel"/>
    <w:tmpl w:val="885CBADC"/>
    <w:lvl w:ilvl="0" w:tplc="57EA302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num>
  <w:num w:numId="3">
    <w:abstractNumId w:val="13"/>
  </w:num>
  <w:num w:numId="4">
    <w:abstractNumId w:val="7"/>
  </w:num>
  <w:num w:numId="5">
    <w:abstractNumId w:val="10"/>
  </w:num>
  <w:num w:numId="6">
    <w:abstractNumId w:val="6"/>
  </w:num>
  <w:num w:numId="7">
    <w:abstractNumId w:val="11"/>
  </w:num>
  <w:num w:numId="8">
    <w:abstractNumId w:val="12"/>
  </w:num>
  <w:num w:numId="9">
    <w:abstractNumId w:val="14"/>
  </w:num>
  <w:num w:numId="10">
    <w:abstractNumId w:val="9"/>
  </w:num>
  <w:num w:numId="11">
    <w:abstractNumId w:val="8"/>
  </w:num>
  <w:num w:numId="12">
    <w:abstractNumId w:val="1"/>
  </w:num>
  <w:num w:numId="13">
    <w:abstractNumId w:val="3"/>
  </w:num>
  <w:num w:numId="14">
    <w:abstractNumId w:val="5"/>
  </w:num>
  <w:num w:numId="15">
    <w:abstractNumId w:val="16"/>
  </w:num>
  <w:num w:numId="16">
    <w:abstractNumId w:val="0"/>
  </w:num>
  <w:num w:numId="17">
    <w:abstractNumId w:val="15"/>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bordersDoNotSurroundHeader/>
  <w:bordersDoNotSurroundFooter/>
  <w:stylePaneFormatFilter w:val="3F01"/>
  <w:defaultTabStop w:val="84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0"/>
    <w:footnote w:id="1"/>
  </w:footnotePr>
  <w:endnotePr>
    <w:endnote w:id="0"/>
    <w:endnote w:id="1"/>
  </w:endnotePr>
  <w:compat>
    <w:useFELayout/>
  </w:compat>
  <w:rsids>
    <w:rsidRoot w:val="00C539C7"/>
    <w:rsid w:val="000036E5"/>
    <w:rsid w:val="000111FE"/>
    <w:rsid w:val="00013E2B"/>
    <w:rsid w:val="000153B1"/>
    <w:rsid w:val="00016C9C"/>
    <w:rsid w:val="00023E41"/>
    <w:rsid w:val="00025CD5"/>
    <w:rsid w:val="00027038"/>
    <w:rsid w:val="0003777E"/>
    <w:rsid w:val="00040D62"/>
    <w:rsid w:val="0004504F"/>
    <w:rsid w:val="0004642F"/>
    <w:rsid w:val="0005265B"/>
    <w:rsid w:val="00056A79"/>
    <w:rsid w:val="00061F4B"/>
    <w:rsid w:val="00063986"/>
    <w:rsid w:val="00063A81"/>
    <w:rsid w:val="00064B4F"/>
    <w:rsid w:val="00074371"/>
    <w:rsid w:val="00076966"/>
    <w:rsid w:val="00082CCF"/>
    <w:rsid w:val="00091AAD"/>
    <w:rsid w:val="000B1395"/>
    <w:rsid w:val="000C1415"/>
    <w:rsid w:val="000C306B"/>
    <w:rsid w:val="000C3490"/>
    <w:rsid w:val="000D1105"/>
    <w:rsid w:val="000D6684"/>
    <w:rsid w:val="000E59B2"/>
    <w:rsid w:val="000E6A40"/>
    <w:rsid w:val="000F5285"/>
    <w:rsid w:val="000F6407"/>
    <w:rsid w:val="00111161"/>
    <w:rsid w:val="00113047"/>
    <w:rsid w:val="00113D7B"/>
    <w:rsid w:val="001173E1"/>
    <w:rsid w:val="0012239D"/>
    <w:rsid w:val="001227EC"/>
    <w:rsid w:val="00124C44"/>
    <w:rsid w:val="001265BF"/>
    <w:rsid w:val="0013021E"/>
    <w:rsid w:val="00137BBD"/>
    <w:rsid w:val="00142154"/>
    <w:rsid w:val="00155742"/>
    <w:rsid w:val="001634CD"/>
    <w:rsid w:val="00180EC6"/>
    <w:rsid w:val="00196AB8"/>
    <w:rsid w:val="001A6EFA"/>
    <w:rsid w:val="001B233E"/>
    <w:rsid w:val="001C5465"/>
    <w:rsid w:val="001C5A71"/>
    <w:rsid w:val="001D2F35"/>
    <w:rsid w:val="001D4075"/>
    <w:rsid w:val="001E3C47"/>
    <w:rsid w:val="001E5E75"/>
    <w:rsid w:val="00200D76"/>
    <w:rsid w:val="002013AB"/>
    <w:rsid w:val="002048CE"/>
    <w:rsid w:val="0021395B"/>
    <w:rsid w:val="00216143"/>
    <w:rsid w:val="002176CF"/>
    <w:rsid w:val="002204DF"/>
    <w:rsid w:val="00222640"/>
    <w:rsid w:val="002417CD"/>
    <w:rsid w:val="002449B2"/>
    <w:rsid w:val="00265EAF"/>
    <w:rsid w:val="00274892"/>
    <w:rsid w:val="00275FE1"/>
    <w:rsid w:val="00276DB8"/>
    <w:rsid w:val="002772A8"/>
    <w:rsid w:val="00296D15"/>
    <w:rsid w:val="002A4C64"/>
    <w:rsid w:val="002B0EAD"/>
    <w:rsid w:val="002C5170"/>
    <w:rsid w:val="002C5D32"/>
    <w:rsid w:val="002D2E98"/>
    <w:rsid w:val="002D3F13"/>
    <w:rsid w:val="002D5517"/>
    <w:rsid w:val="002E0EB6"/>
    <w:rsid w:val="002E6488"/>
    <w:rsid w:val="003040E8"/>
    <w:rsid w:val="00311A8C"/>
    <w:rsid w:val="00313DFD"/>
    <w:rsid w:val="0034157F"/>
    <w:rsid w:val="003415CE"/>
    <w:rsid w:val="00350825"/>
    <w:rsid w:val="003719BB"/>
    <w:rsid w:val="00375526"/>
    <w:rsid w:val="00375BDC"/>
    <w:rsid w:val="00390651"/>
    <w:rsid w:val="00390691"/>
    <w:rsid w:val="00392A72"/>
    <w:rsid w:val="00393F9E"/>
    <w:rsid w:val="003A7CBD"/>
    <w:rsid w:val="003B3AD9"/>
    <w:rsid w:val="003B47E8"/>
    <w:rsid w:val="003C3142"/>
    <w:rsid w:val="003C31B8"/>
    <w:rsid w:val="003C5D5A"/>
    <w:rsid w:val="003C6A3C"/>
    <w:rsid w:val="003D1C42"/>
    <w:rsid w:val="003D5CA1"/>
    <w:rsid w:val="003E62FB"/>
    <w:rsid w:val="003F26DD"/>
    <w:rsid w:val="0040291B"/>
    <w:rsid w:val="00406881"/>
    <w:rsid w:val="004100B9"/>
    <w:rsid w:val="00431AC9"/>
    <w:rsid w:val="00432EF9"/>
    <w:rsid w:val="00433BD4"/>
    <w:rsid w:val="00444752"/>
    <w:rsid w:val="00445277"/>
    <w:rsid w:val="0045272C"/>
    <w:rsid w:val="004626C1"/>
    <w:rsid w:val="00462EB2"/>
    <w:rsid w:val="004708E8"/>
    <w:rsid w:val="00471DD1"/>
    <w:rsid w:val="00474C5B"/>
    <w:rsid w:val="00475623"/>
    <w:rsid w:val="004762EE"/>
    <w:rsid w:val="004802F2"/>
    <w:rsid w:val="00481515"/>
    <w:rsid w:val="00481715"/>
    <w:rsid w:val="00487F46"/>
    <w:rsid w:val="004A7366"/>
    <w:rsid w:val="004A76CF"/>
    <w:rsid w:val="004B3CFE"/>
    <w:rsid w:val="004B4312"/>
    <w:rsid w:val="004B5720"/>
    <w:rsid w:val="004D098A"/>
    <w:rsid w:val="004D16F3"/>
    <w:rsid w:val="004D351B"/>
    <w:rsid w:val="004D7AA7"/>
    <w:rsid w:val="004E0EA4"/>
    <w:rsid w:val="004E4065"/>
    <w:rsid w:val="004F3AF9"/>
    <w:rsid w:val="004F3D43"/>
    <w:rsid w:val="00501738"/>
    <w:rsid w:val="0051147A"/>
    <w:rsid w:val="00511BD5"/>
    <w:rsid w:val="0052659A"/>
    <w:rsid w:val="005302C7"/>
    <w:rsid w:val="00545FAC"/>
    <w:rsid w:val="00547AB4"/>
    <w:rsid w:val="005710B8"/>
    <w:rsid w:val="00571110"/>
    <w:rsid w:val="00575AE2"/>
    <w:rsid w:val="00583102"/>
    <w:rsid w:val="00591DB3"/>
    <w:rsid w:val="005A1F8F"/>
    <w:rsid w:val="005A5C74"/>
    <w:rsid w:val="005B17DD"/>
    <w:rsid w:val="005C6982"/>
    <w:rsid w:val="005C7212"/>
    <w:rsid w:val="005D006D"/>
    <w:rsid w:val="005D0E12"/>
    <w:rsid w:val="005D6BB2"/>
    <w:rsid w:val="005E164C"/>
    <w:rsid w:val="005E35DD"/>
    <w:rsid w:val="005E5FA5"/>
    <w:rsid w:val="00604AD6"/>
    <w:rsid w:val="00645123"/>
    <w:rsid w:val="00646B8E"/>
    <w:rsid w:val="0065191A"/>
    <w:rsid w:val="00654CE2"/>
    <w:rsid w:val="0065636B"/>
    <w:rsid w:val="0066489B"/>
    <w:rsid w:val="00693151"/>
    <w:rsid w:val="00693E48"/>
    <w:rsid w:val="006A3184"/>
    <w:rsid w:val="006A6D05"/>
    <w:rsid w:val="006D002C"/>
    <w:rsid w:val="006D69A3"/>
    <w:rsid w:val="006E6A21"/>
    <w:rsid w:val="007166BF"/>
    <w:rsid w:val="007176C0"/>
    <w:rsid w:val="0072628A"/>
    <w:rsid w:val="00750338"/>
    <w:rsid w:val="00760A64"/>
    <w:rsid w:val="00767E23"/>
    <w:rsid w:val="00770AB9"/>
    <w:rsid w:val="007823AB"/>
    <w:rsid w:val="007966FD"/>
    <w:rsid w:val="00797D39"/>
    <w:rsid w:val="007A0982"/>
    <w:rsid w:val="007A3B07"/>
    <w:rsid w:val="007B331A"/>
    <w:rsid w:val="007E0548"/>
    <w:rsid w:val="0080035A"/>
    <w:rsid w:val="008077E3"/>
    <w:rsid w:val="00811E03"/>
    <w:rsid w:val="008276D6"/>
    <w:rsid w:val="00842127"/>
    <w:rsid w:val="008668AA"/>
    <w:rsid w:val="008820FE"/>
    <w:rsid w:val="008B16B2"/>
    <w:rsid w:val="008B19A5"/>
    <w:rsid w:val="008C495D"/>
    <w:rsid w:val="008D262A"/>
    <w:rsid w:val="008D464C"/>
    <w:rsid w:val="008D7298"/>
    <w:rsid w:val="00903B76"/>
    <w:rsid w:val="00916A04"/>
    <w:rsid w:val="00930A68"/>
    <w:rsid w:val="00933491"/>
    <w:rsid w:val="0093476B"/>
    <w:rsid w:val="00945F98"/>
    <w:rsid w:val="00953C90"/>
    <w:rsid w:val="00995F22"/>
    <w:rsid w:val="009A1E91"/>
    <w:rsid w:val="009A3780"/>
    <w:rsid w:val="009C1184"/>
    <w:rsid w:val="009D6F34"/>
    <w:rsid w:val="009E0423"/>
    <w:rsid w:val="009E51A4"/>
    <w:rsid w:val="009F0512"/>
    <w:rsid w:val="009F3AB4"/>
    <w:rsid w:val="009F4A7B"/>
    <w:rsid w:val="009F5418"/>
    <w:rsid w:val="00A10268"/>
    <w:rsid w:val="00A11FD0"/>
    <w:rsid w:val="00A12BEC"/>
    <w:rsid w:val="00A23A07"/>
    <w:rsid w:val="00A2420D"/>
    <w:rsid w:val="00A25084"/>
    <w:rsid w:val="00A43E39"/>
    <w:rsid w:val="00A45A6F"/>
    <w:rsid w:val="00A463AD"/>
    <w:rsid w:val="00A51A45"/>
    <w:rsid w:val="00A82331"/>
    <w:rsid w:val="00A874E3"/>
    <w:rsid w:val="00A9575D"/>
    <w:rsid w:val="00AA4000"/>
    <w:rsid w:val="00AD6F57"/>
    <w:rsid w:val="00AE78ED"/>
    <w:rsid w:val="00AF49D2"/>
    <w:rsid w:val="00B25CCD"/>
    <w:rsid w:val="00B34F8F"/>
    <w:rsid w:val="00B36E67"/>
    <w:rsid w:val="00B45F96"/>
    <w:rsid w:val="00B50071"/>
    <w:rsid w:val="00B531B7"/>
    <w:rsid w:val="00B53E84"/>
    <w:rsid w:val="00B57FCD"/>
    <w:rsid w:val="00B601E5"/>
    <w:rsid w:val="00B61447"/>
    <w:rsid w:val="00B63511"/>
    <w:rsid w:val="00B77A36"/>
    <w:rsid w:val="00B827B7"/>
    <w:rsid w:val="00B93275"/>
    <w:rsid w:val="00BB19AB"/>
    <w:rsid w:val="00BB2564"/>
    <w:rsid w:val="00BC3CF0"/>
    <w:rsid w:val="00BC5140"/>
    <w:rsid w:val="00BD5FF2"/>
    <w:rsid w:val="00C211B3"/>
    <w:rsid w:val="00C27F1A"/>
    <w:rsid w:val="00C324A5"/>
    <w:rsid w:val="00C42217"/>
    <w:rsid w:val="00C46D45"/>
    <w:rsid w:val="00C5354F"/>
    <w:rsid w:val="00C539C7"/>
    <w:rsid w:val="00C711B7"/>
    <w:rsid w:val="00C95493"/>
    <w:rsid w:val="00CA1416"/>
    <w:rsid w:val="00CB3D90"/>
    <w:rsid w:val="00CB40E6"/>
    <w:rsid w:val="00CB706B"/>
    <w:rsid w:val="00CC0B16"/>
    <w:rsid w:val="00CF5B39"/>
    <w:rsid w:val="00CF6165"/>
    <w:rsid w:val="00D10C63"/>
    <w:rsid w:val="00D125C3"/>
    <w:rsid w:val="00D1556C"/>
    <w:rsid w:val="00D3027A"/>
    <w:rsid w:val="00D36EF8"/>
    <w:rsid w:val="00D55863"/>
    <w:rsid w:val="00D609E8"/>
    <w:rsid w:val="00D61406"/>
    <w:rsid w:val="00D668A0"/>
    <w:rsid w:val="00D73506"/>
    <w:rsid w:val="00D8047E"/>
    <w:rsid w:val="00DA4159"/>
    <w:rsid w:val="00DB07FB"/>
    <w:rsid w:val="00DC30B6"/>
    <w:rsid w:val="00DD4CDE"/>
    <w:rsid w:val="00DE361D"/>
    <w:rsid w:val="00DF0A93"/>
    <w:rsid w:val="00E0020C"/>
    <w:rsid w:val="00E0690D"/>
    <w:rsid w:val="00E1133A"/>
    <w:rsid w:val="00E12436"/>
    <w:rsid w:val="00E156B4"/>
    <w:rsid w:val="00E15F74"/>
    <w:rsid w:val="00E6097C"/>
    <w:rsid w:val="00E67F9B"/>
    <w:rsid w:val="00E70CA8"/>
    <w:rsid w:val="00E72674"/>
    <w:rsid w:val="00E81B60"/>
    <w:rsid w:val="00E93076"/>
    <w:rsid w:val="00E9608E"/>
    <w:rsid w:val="00EA2304"/>
    <w:rsid w:val="00EB045D"/>
    <w:rsid w:val="00EB1697"/>
    <w:rsid w:val="00EC52A7"/>
    <w:rsid w:val="00ED026B"/>
    <w:rsid w:val="00ED23C1"/>
    <w:rsid w:val="00ED2F27"/>
    <w:rsid w:val="00ED6B73"/>
    <w:rsid w:val="00EE043B"/>
    <w:rsid w:val="00EF31CA"/>
    <w:rsid w:val="00F00537"/>
    <w:rsid w:val="00F01820"/>
    <w:rsid w:val="00F06AE8"/>
    <w:rsid w:val="00F11816"/>
    <w:rsid w:val="00F306A3"/>
    <w:rsid w:val="00F33F5F"/>
    <w:rsid w:val="00F3674F"/>
    <w:rsid w:val="00F458FF"/>
    <w:rsid w:val="00F45B7A"/>
    <w:rsid w:val="00F64FAA"/>
    <w:rsid w:val="00F861EF"/>
    <w:rsid w:val="00F87EBA"/>
    <w:rsid w:val="00FA7761"/>
    <w:rsid w:val="00FD3B8C"/>
    <w:rsid w:val="00FE039F"/>
    <w:rsid w:val="00FF3F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1FE"/>
    <w:pPr>
      <w:widowControl w:val="0"/>
      <w:autoSpaceDE w:val="0"/>
      <w:autoSpaceDN w:val="0"/>
      <w:jc w:val="both"/>
    </w:pPr>
    <w:rPr>
      <w:rFonts w:ascii="Century" w:hAnsi="Century"/>
      <w:kern w:val="2"/>
      <w:sz w:val="21"/>
      <w:szCs w:val="21"/>
    </w:rPr>
  </w:style>
  <w:style w:type="paragraph" w:styleId="Heading1">
    <w:name w:val="heading 1"/>
    <w:aliases w:val="NMP Heading 1,H1,h1,h11,h12,h13,h14,h15,h16"/>
    <w:basedOn w:val="Normal"/>
    <w:next w:val="Normal"/>
    <w:qFormat/>
    <w:rsid w:val="000111FE"/>
    <w:pPr>
      <w:keepNext/>
      <w:widowControl/>
      <w:spacing w:before="240" w:after="60"/>
      <w:jc w:val="left"/>
      <w:outlineLvl w:val="0"/>
    </w:pPr>
    <w:rPr>
      <w:rFonts w:ascii="Arial" w:hAnsi="Arial" w:cs="Arial"/>
      <w:b/>
      <w:bCs/>
      <w:kern w:val="28"/>
      <w:sz w:val="28"/>
      <w:szCs w:val="28"/>
      <w:lang w:val="en-GB"/>
    </w:rPr>
  </w:style>
  <w:style w:type="paragraph" w:styleId="Heading2">
    <w:name w:val="heading 2"/>
    <w:basedOn w:val="Normal"/>
    <w:next w:val="Normal"/>
    <w:qFormat/>
    <w:rsid w:val="000111FE"/>
    <w:pPr>
      <w:keepNext/>
      <w:outlineLvl w:val="1"/>
    </w:pPr>
    <w:rPr>
      <w:b/>
      <w:bCs/>
    </w:rPr>
  </w:style>
  <w:style w:type="paragraph" w:styleId="Heading3">
    <w:name w:val="heading 3"/>
    <w:basedOn w:val="Normal"/>
    <w:next w:val="Normal"/>
    <w:qFormat/>
    <w:rsid w:val="00CC0B1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111FE"/>
    <w:pPr>
      <w:widowControl/>
      <w:jc w:val="left"/>
    </w:pPr>
    <w:rPr>
      <w:lang w:val="en-GB"/>
    </w:rPr>
  </w:style>
  <w:style w:type="paragraph" w:styleId="BodyTextIndent">
    <w:name w:val="Body Text Indent"/>
    <w:basedOn w:val="Normal"/>
    <w:rsid w:val="000111FE"/>
    <w:pPr>
      <w:ind w:left="720"/>
    </w:pPr>
    <w:rPr>
      <w:b/>
      <w:bCs/>
    </w:rPr>
  </w:style>
  <w:style w:type="paragraph" w:customStyle="1" w:styleId="normalpuce">
    <w:name w:val="normal puce"/>
    <w:basedOn w:val="Normal"/>
    <w:rsid w:val="000111FE"/>
    <w:pPr>
      <w:widowControl/>
      <w:tabs>
        <w:tab w:val="num" w:pos="360"/>
      </w:tabs>
      <w:spacing w:after="180"/>
      <w:ind w:left="360" w:hanging="360"/>
      <w:jc w:val="left"/>
    </w:pPr>
    <w:rPr>
      <w:kern w:val="0"/>
      <w:sz w:val="20"/>
      <w:szCs w:val="20"/>
      <w:lang w:val="en-GB"/>
    </w:rPr>
  </w:style>
  <w:style w:type="paragraph" w:customStyle="1" w:styleId="B1">
    <w:name w:val="B1"/>
    <w:basedOn w:val="List"/>
    <w:rsid w:val="000111FE"/>
    <w:pPr>
      <w:widowControl/>
      <w:spacing w:after="180"/>
      <w:ind w:left="568" w:hanging="284"/>
      <w:jc w:val="left"/>
    </w:pPr>
    <w:rPr>
      <w:kern w:val="0"/>
      <w:sz w:val="20"/>
      <w:szCs w:val="20"/>
      <w:lang w:val="en-GB"/>
    </w:rPr>
  </w:style>
  <w:style w:type="paragraph" w:styleId="List">
    <w:name w:val="List"/>
    <w:basedOn w:val="Normal"/>
    <w:rsid w:val="000111FE"/>
    <w:pPr>
      <w:ind w:left="360" w:hanging="360"/>
    </w:pPr>
  </w:style>
  <w:style w:type="paragraph" w:customStyle="1" w:styleId="TAL">
    <w:name w:val="TAL"/>
    <w:basedOn w:val="Normal"/>
    <w:rsid w:val="000111FE"/>
    <w:pPr>
      <w:keepNext/>
      <w:keepLines/>
      <w:jc w:val="left"/>
    </w:pPr>
    <w:rPr>
      <w:kern w:val="0"/>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0111F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
    <w:rsid w:val="000111FE"/>
    <w:pPr>
      <w:keepNext/>
      <w:keepLines/>
      <w:widowControl/>
      <w:spacing w:after="180"/>
      <w:jc w:val="left"/>
    </w:pPr>
    <w:rPr>
      <w:b/>
      <w:bCs/>
      <w:kern w:val="0"/>
      <w:sz w:val="20"/>
      <w:szCs w:val="20"/>
      <w:lang w:val="en-GB"/>
    </w:rPr>
  </w:style>
  <w:style w:type="character" w:styleId="Hyperlink">
    <w:name w:val="Hyperlink"/>
    <w:basedOn w:val="DefaultParagraphFont"/>
    <w:rsid w:val="000111FE"/>
    <w:rPr>
      <w:color w:val="0000FF"/>
      <w:u w:val="single"/>
    </w:rPr>
  </w:style>
  <w:style w:type="character" w:styleId="CommentReference">
    <w:name w:val="annotation reference"/>
    <w:basedOn w:val="DefaultParagraphFont"/>
    <w:semiHidden/>
    <w:rsid w:val="007E0548"/>
    <w:rPr>
      <w:sz w:val="16"/>
      <w:szCs w:val="16"/>
    </w:rPr>
  </w:style>
  <w:style w:type="paragraph" w:styleId="CommentText">
    <w:name w:val="annotation text"/>
    <w:basedOn w:val="Normal"/>
    <w:semiHidden/>
    <w:rsid w:val="007E0548"/>
    <w:rPr>
      <w:sz w:val="20"/>
      <w:szCs w:val="20"/>
    </w:rPr>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
    <w:name w:val="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basedOn w:val="DefaultParagraphFont"/>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04504F"/>
    <w:pPr>
      <w:ind w:left="720"/>
      <w:contextualSpacing/>
    </w:pPr>
  </w:style>
  <w:style w:type="paragraph" w:styleId="NormalWeb">
    <w:name w:val="Normal (Web)"/>
    <w:basedOn w:val="Normal"/>
    <w:uiPriority w:val="99"/>
    <w:semiHidden/>
    <w:unhideWhenUsed/>
    <w:rsid w:val="000E6A40"/>
    <w:pPr>
      <w:widowControl/>
      <w:autoSpaceDE/>
      <w:autoSpaceDN/>
      <w:spacing w:before="100" w:beforeAutospacing="1" w:after="100" w:afterAutospacing="1"/>
      <w:jc w:val="left"/>
    </w:pPr>
    <w:rPr>
      <w:rFonts w:ascii="Times New Roman" w:eastAsiaTheme="minorHAnsi" w:hAnsi="Times New Roman"/>
      <w:kern w:val="0"/>
      <w:sz w:val="24"/>
      <w:szCs w:val="24"/>
    </w:rPr>
  </w:style>
  <w:style w:type="paragraph" w:styleId="Footer">
    <w:name w:val="footer"/>
    <w:basedOn w:val="Normal"/>
    <w:link w:val="FooterChar"/>
    <w:uiPriority w:val="99"/>
    <w:unhideWhenUsed/>
    <w:rsid w:val="00F45B7A"/>
    <w:pPr>
      <w:tabs>
        <w:tab w:val="center" w:pos="4680"/>
        <w:tab w:val="right" w:pos="9360"/>
      </w:tabs>
    </w:pPr>
  </w:style>
  <w:style w:type="character" w:customStyle="1" w:styleId="FooterChar">
    <w:name w:val="Footer Char"/>
    <w:basedOn w:val="DefaultParagraphFont"/>
    <w:link w:val="Footer"/>
    <w:uiPriority w:val="99"/>
    <w:rsid w:val="00F45B7A"/>
    <w:rPr>
      <w:rFonts w:ascii="Century" w:hAnsi="Century"/>
      <w:kern w:val="2"/>
      <w:sz w:val="21"/>
      <w:szCs w:val="21"/>
    </w:rPr>
  </w:style>
</w:styles>
</file>

<file path=word/webSettings.xml><?xml version="1.0" encoding="utf-8"?>
<w:webSettings xmlns:r="http://schemas.openxmlformats.org/officeDocument/2006/relationships" xmlns:w="http://schemas.openxmlformats.org/wordprocessingml/2006/main">
  <w:divs>
    <w:div w:id="1179737992">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795564505">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Draft Agenda for RAN#20</vt:lpstr>
    </vt:vector>
  </TitlesOfParts>
  <Company>NEC</Company>
  <LinksUpToDate>false</LinksUpToDate>
  <CharactersWithSpaces>2991</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RAN#20</dc:title>
  <dc:subject/>
  <dc:creator>Fracois Courau</dc:creator>
  <cp:keywords/>
  <dc:description/>
  <cp:lastModifiedBy>Sharat S. Chander, AT&amp;T</cp:lastModifiedBy>
  <cp:revision>73</cp:revision>
  <cp:lastPrinted>2009-04-28T21:43:00Z</cp:lastPrinted>
  <dcterms:created xsi:type="dcterms:W3CDTF">2009-05-25T20:03:00Z</dcterms:created>
  <dcterms:modified xsi:type="dcterms:W3CDTF">2009-05-26T12:17:00Z</dcterms:modified>
</cp:coreProperties>
</file>